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C67B" w14:textId="486BE2D4" w:rsidR="008A2D7C" w:rsidRDefault="008A2D7C" w:rsidP="008A2D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</w:pPr>
      <w:r w:rsidRPr="007518CA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>Exclusion List</w:t>
      </w:r>
    </w:p>
    <w:p w14:paraId="6DE9CBF5" w14:textId="77777777" w:rsidR="008A2D7C" w:rsidRPr="007518CA" w:rsidRDefault="008A2D7C" w:rsidP="008A2D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4961"/>
        <w:gridCol w:w="4111"/>
      </w:tblGrid>
      <w:tr w:rsidR="008A2D7C" w:rsidRPr="00596EED" w14:paraId="721DBD23" w14:textId="77777777" w:rsidTr="0004761F">
        <w:trPr>
          <w:trHeight w:val="680"/>
        </w:trPr>
        <w:tc>
          <w:tcPr>
            <w:tcW w:w="1413" w:type="dxa"/>
            <w:vAlign w:val="center"/>
          </w:tcPr>
          <w:p w14:paraId="1D5242AA" w14:textId="77777777" w:rsidR="008A2D7C" w:rsidRPr="00596EED" w:rsidRDefault="008A2D7C" w:rsidP="008A2D7C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96E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CODE</w:t>
            </w:r>
          </w:p>
        </w:tc>
        <w:tc>
          <w:tcPr>
            <w:tcW w:w="4961" w:type="dxa"/>
            <w:vAlign w:val="center"/>
          </w:tcPr>
          <w:p w14:paraId="77D42F66" w14:textId="77777777" w:rsidR="008A2D7C" w:rsidRPr="00596EED" w:rsidRDefault="008A2D7C" w:rsidP="008A2D7C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96E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Exclusion</w:t>
            </w:r>
            <w:r w:rsidRPr="00596EE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596E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List</w:t>
            </w:r>
            <w:r w:rsidRPr="00596EE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(Click the titles for more details)</w:t>
            </w:r>
          </w:p>
        </w:tc>
        <w:tc>
          <w:tcPr>
            <w:tcW w:w="4111" w:type="dxa"/>
            <w:vAlign w:val="center"/>
          </w:tcPr>
          <w:p w14:paraId="222B4C60" w14:textId="77777777" w:rsidR="008A2D7C" w:rsidRPr="00596EED" w:rsidRDefault="008A2D7C" w:rsidP="008A2D7C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96E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R</w:t>
            </w:r>
            <w:r w:rsidRPr="00596EE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emarks</w:t>
            </w:r>
          </w:p>
        </w:tc>
      </w:tr>
      <w:tr w:rsidR="008A2D7C" w:rsidRPr="00596EED" w14:paraId="3C9DF8F6" w14:textId="77777777" w:rsidTr="0004761F">
        <w:trPr>
          <w:trHeight w:val="680"/>
        </w:trPr>
        <w:tc>
          <w:tcPr>
            <w:tcW w:w="1413" w:type="dxa"/>
            <w:vMerge w:val="restart"/>
            <w:vAlign w:val="center"/>
          </w:tcPr>
          <w:p w14:paraId="79EDE5BE" w14:textId="77777777" w:rsidR="008A2D7C" w:rsidRPr="00596EED" w:rsidRDefault="008A2D7C" w:rsidP="008A2D7C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96E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Click to view list</w:t>
            </w:r>
          </w:p>
        </w:tc>
        <w:tc>
          <w:tcPr>
            <w:tcW w:w="4961" w:type="dxa"/>
            <w:vAlign w:val="center"/>
          </w:tcPr>
          <w:p w14:paraId="369397F2" w14:textId="77777777" w:rsidR="008A2D7C" w:rsidRPr="00596EED" w:rsidRDefault="00BC1EA0" w:rsidP="008A2D7C">
            <w:pPr>
              <w:pStyle w:val="Heading3"/>
              <w:shd w:val="clear" w:color="auto" w:fill="FFFFFF"/>
              <w:spacing w:before="0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8A2D7C" w:rsidRPr="00596EED">
                <w:rPr>
                  <w:rStyle w:val="Hyperlink"/>
                  <w:rFonts w:ascii="Arial" w:hAnsi="Arial" w:cs="Arial"/>
                  <w:sz w:val="20"/>
                  <w:szCs w:val="20"/>
                </w:rPr>
                <w:t>E-Learning Package</w:t>
              </w:r>
            </w:hyperlink>
          </w:p>
        </w:tc>
        <w:tc>
          <w:tcPr>
            <w:tcW w:w="4111" w:type="dxa"/>
            <w:vMerge w:val="restart"/>
            <w:vAlign w:val="center"/>
          </w:tcPr>
          <w:p w14:paraId="5738E45F" w14:textId="77777777" w:rsidR="008A2D7C" w:rsidRPr="00596EED" w:rsidRDefault="008A2D7C" w:rsidP="008A2D7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96EE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Not able to offset package price using Corporate Package but </w:t>
            </w:r>
            <w:r w:rsidRPr="00596E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individual courses</w:t>
            </w:r>
            <w:r w:rsidRPr="00596EE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596EE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are available</w:t>
            </w:r>
            <w:r w:rsidRPr="00596EE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for registration using Corporate Package</w:t>
            </w:r>
          </w:p>
        </w:tc>
      </w:tr>
      <w:tr w:rsidR="008A2D7C" w:rsidRPr="00596EED" w14:paraId="1B4EE522" w14:textId="77777777" w:rsidTr="0004761F">
        <w:trPr>
          <w:trHeight w:val="680"/>
        </w:trPr>
        <w:tc>
          <w:tcPr>
            <w:tcW w:w="1413" w:type="dxa"/>
            <w:vMerge/>
            <w:vAlign w:val="center"/>
          </w:tcPr>
          <w:p w14:paraId="1364D727" w14:textId="77777777" w:rsidR="008A2D7C" w:rsidRPr="00596EED" w:rsidRDefault="008A2D7C" w:rsidP="008A2D7C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1E9EA838" w14:textId="77777777" w:rsidR="008A2D7C" w:rsidRPr="00596EED" w:rsidRDefault="00BC1EA0" w:rsidP="008A2D7C">
            <w:pPr>
              <w:pStyle w:val="Heading3"/>
              <w:shd w:val="clear" w:color="auto" w:fill="FFFFFF"/>
              <w:spacing w:before="0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8A2D7C" w:rsidRPr="00596EED">
                <w:rPr>
                  <w:rStyle w:val="Hyperlink"/>
                  <w:rFonts w:ascii="Arial" w:hAnsi="Arial" w:cs="Arial"/>
                  <w:sz w:val="20"/>
                  <w:szCs w:val="20"/>
                </w:rPr>
                <w:t>Flexi-Learning Package</w:t>
              </w:r>
            </w:hyperlink>
          </w:p>
        </w:tc>
        <w:tc>
          <w:tcPr>
            <w:tcW w:w="4111" w:type="dxa"/>
            <w:vMerge/>
            <w:vAlign w:val="center"/>
          </w:tcPr>
          <w:p w14:paraId="47A836E6" w14:textId="77777777" w:rsidR="008A2D7C" w:rsidRPr="00596EED" w:rsidRDefault="008A2D7C" w:rsidP="008A2D7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A2D7C" w:rsidRPr="00596EED" w14:paraId="3924219A" w14:textId="77777777" w:rsidTr="0004761F">
        <w:trPr>
          <w:trHeight w:val="680"/>
        </w:trPr>
        <w:tc>
          <w:tcPr>
            <w:tcW w:w="1413" w:type="dxa"/>
            <w:vAlign w:val="center"/>
          </w:tcPr>
          <w:p w14:paraId="3CB8F915" w14:textId="77777777" w:rsidR="008A2D7C" w:rsidRPr="00596EED" w:rsidRDefault="008A2D7C" w:rsidP="008A2D7C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96E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ACXXX</w:t>
            </w:r>
          </w:p>
        </w:tc>
        <w:tc>
          <w:tcPr>
            <w:tcW w:w="4961" w:type="dxa"/>
            <w:vAlign w:val="center"/>
          </w:tcPr>
          <w:p w14:paraId="1F386928" w14:textId="77777777" w:rsidR="008A2D7C" w:rsidRPr="00596EED" w:rsidRDefault="00BC1EA0" w:rsidP="008A2D7C">
            <w:pPr>
              <w:pStyle w:val="Heading3"/>
              <w:shd w:val="clear" w:color="auto" w:fill="FFFFFF"/>
              <w:spacing w:before="0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A2D7C" w:rsidRPr="00596EED">
                <w:rPr>
                  <w:rStyle w:val="Hyperlink"/>
                  <w:rFonts w:ascii="Arial" w:hAnsi="Arial" w:cs="Arial"/>
                  <w:sz w:val="20"/>
                  <w:szCs w:val="20"/>
                </w:rPr>
                <w:t>Audit Committee Programme</w:t>
              </w:r>
            </w:hyperlink>
          </w:p>
        </w:tc>
        <w:tc>
          <w:tcPr>
            <w:tcW w:w="4111" w:type="dxa"/>
            <w:vMerge/>
            <w:vAlign w:val="center"/>
          </w:tcPr>
          <w:p w14:paraId="5226E4CB" w14:textId="77777777" w:rsidR="008A2D7C" w:rsidRPr="00596EED" w:rsidRDefault="008A2D7C" w:rsidP="008A2D7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A2D7C" w:rsidRPr="00596EED" w14:paraId="201290B8" w14:textId="77777777" w:rsidTr="0004761F">
        <w:trPr>
          <w:trHeight w:val="680"/>
        </w:trPr>
        <w:tc>
          <w:tcPr>
            <w:tcW w:w="1413" w:type="dxa"/>
            <w:vAlign w:val="center"/>
          </w:tcPr>
          <w:p w14:paraId="3A29F354" w14:textId="77777777" w:rsidR="008A2D7C" w:rsidRPr="00596EED" w:rsidRDefault="008A2D7C" w:rsidP="008A2D7C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96E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PAW</w:t>
            </w:r>
          </w:p>
        </w:tc>
        <w:tc>
          <w:tcPr>
            <w:tcW w:w="4961" w:type="dxa"/>
            <w:vAlign w:val="center"/>
          </w:tcPr>
          <w:p w14:paraId="7668A3F2" w14:textId="77777777" w:rsidR="008A2D7C" w:rsidRPr="00596EED" w:rsidRDefault="00BC1EA0" w:rsidP="008A2D7C">
            <w:pPr>
              <w:pStyle w:val="Heading3"/>
              <w:shd w:val="clear" w:color="auto" w:fill="FFFFFF"/>
              <w:spacing w:before="0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A2D7C" w:rsidRPr="00596EED">
                <w:rPr>
                  <w:rStyle w:val="Hyperlink"/>
                  <w:rFonts w:ascii="Arial" w:hAnsi="Arial" w:cs="Arial"/>
                  <w:sz w:val="20"/>
                  <w:szCs w:val="20"/>
                </w:rPr>
                <w:t>Practical Audit Workshop</w:t>
              </w:r>
            </w:hyperlink>
          </w:p>
        </w:tc>
        <w:tc>
          <w:tcPr>
            <w:tcW w:w="4111" w:type="dxa"/>
            <w:vMerge w:val="restart"/>
            <w:vAlign w:val="center"/>
          </w:tcPr>
          <w:p w14:paraId="2766713A" w14:textId="77777777" w:rsidR="008A2D7C" w:rsidRPr="00596EED" w:rsidRDefault="008A2D7C" w:rsidP="008A2D7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96EE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</w:t>
            </w:r>
            <w:r w:rsidRPr="00596EED">
              <w:rPr>
                <w:rFonts w:ascii="Arial" w:hAnsi="Arial" w:cs="Arial"/>
                <w:color w:val="333333"/>
                <w:sz w:val="20"/>
                <w:szCs w:val="20"/>
              </w:rPr>
              <w:t>ot applicable for Corporate Packages</w:t>
            </w:r>
          </w:p>
        </w:tc>
      </w:tr>
      <w:tr w:rsidR="008A2D7C" w:rsidRPr="00596EED" w14:paraId="17F06681" w14:textId="77777777" w:rsidTr="0004761F">
        <w:trPr>
          <w:trHeight w:val="680"/>
        </w:trPr>
        <w:tc>
          <w:tcPr>
            <w:tcW w:w="1413" w:type="dxa"/>
            <w:vAlign w:val="center"/>
          </w:tcPr>
          <w:p w14:paraId="0346A3BC" w14:textId="77777777" w:rsidR="008A2D7C" w:rsidRPr="00596EED" w:rsidRDefault="008A2D7C" w:rsidP="008A2D7C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96E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AFLP</w:t>
            </w:r>
          </w:p>
        </w:tc>
        <w:tc>
          <w:tcPr>
            <w:tcW w:w="4961" w:type="dxa"/>
            <w:vAlign w:val="center"/>
          </w:tcPr>
          <w:p w14:paraId="48042250" w14:textId="77777777" w:rsidR="008A2D7C" w:rsidRPr="00596EED" w:rsidRDefault="00BC1EA0" w:rsidP="008A2D7C">
            <w:pPr>
              <w:pStyle w:val="Heading3"/>
              <w:shd w:val="clear" w:color="auto" w:fill="FFFFFF"/>
              <w:spacing w:before="0"/>
              <w:outlineLvl w:val="2"/>
              <w:rPr>
                <w:rFonts w:ascii="Arial" w:hAnsi="Arial" w:cs="Arial"/>
                <w:color w:val="0E416F"/>
                <w:sz w:val="20"/>
                <w:szCs w:val="20"/>
              </w:rPr>
            </w:pPr>
            <w:hyperlink r:id="rId9" w:history="1">
              <w:r w:rsidR="008A2D7C" w:rsidRPr="00596EED">
                <w:rPr>
                  <w:rStyle w:val="Hyperlink"/>
                  <w:rFonts w:ascii="Arial" w:hAnsi="Arial" w:cs="Arial"/>
                  <w:sz w:val="20"/>
                  <w:szCs w:val="20"/>
                </w:rPr>
                <w:t>Accountancy Future Leaders Programme (AFLP)</w:t>
              </w:r>
            </w:hyperlink>
          </w:p>
        </w:tc>
        <w:tc>
          <w:tcPr>
            <w:tcW w:w="4111" w:type="dxa"/>
            <w:vMerge/>
            <w:vAlign w:val="center"/>
          </w:tcPr>
          <w:p w14:paraId="61A527B0" w14:textId="77777777" w:rsidR="008A2D7C" w:rsidRPr="00596EED" w:rsidRDefault="008A2D7C" w:rsidP="008A2D7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A2D7C" w:rsidRPr="00596EED" w14:paraId="20F5FFA7" w14:textId="77777777" w:rsidTr="0004761F">
        <w:trPr>
          <w:trHeight w:val="680"/>
        </w:trPr>
        <w:tc>
          <w:tcPr>
            <w:tcW w:w="1413" w:type="dxa"/>
            <w:vAlign w:val="center"/>
          </w:tcPr>
          <w:p w14:paraId="7C9914FD" w14:textId="77777777" w:rsidR="008A2D7C" w:rsidRPr="00596EED" w:rsidRDefault="008A2D7C" w:rsidP="008A2D7C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96E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BAR2.0 / BAR2.1 / </w:t>
            </w:r>
            <w:proofErr w:type="spellStart"/>
            <w:r w:rsidRPr="00596E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BARplus</w:t>
            </w:r>
            <w:proofErr w:type="spellEnd"/>
          </w:p>
        </w:tc>
        <w:tc>
          <w:tcPr>
            <w:tcW w:w="4961" w:type="dxa"/>
            <w:vAlign w:val="center"/>
          </w:tcPr>
          <w:p w14:paraId="17C71B9C" w14:textId="77777777" w:rsidR="008A2D7C" w:rsidRPr="00596EED" w:rsidRDefault="00BC1EA0" w:rsidP="008A2D7C">
            <w:pPr>
              <w:pStyle w:val="Heading3"/>
              <w:shd w:val="clear" w:color="auto" w:fill="FFFFFF"/>
              <w:spacing w:before="0"/>
              <w:outlineLvl w:val="2"/>
              <w:rPr>
                <w:rFonts w:ascii="Arial" w:hAnsi="Arial" w:cs="Arial"/>
                <w:color w:val="0E416F"/>
                <w:sz w:val="20"/>
                <w:szCs w:val="20"/>
              </w:rPr>
            </w:pPr>
            <w:hyperlink r:id="rId10" w:history="1">
              <w:r w:rsidR="008A2D7C" w:rsidRPr="00596EED">
                <w:rPr>
                  <w:rStyle w:val="Hyperlink"/>
                  <w:rFonts w:ascii="Arial" w:hAnsi="Arial" w:cs="Arial"/>
                  <w:sz w:val="20"/>
                  <w:szCs w:val="20"/>
                </w:rPr>
                <w:t>Business Analytics &amp; Reporting Programmes</w:t>
              </w:r>
            </w:hyperlink>
          </w:p>
        </w:tc>
        <w:tc>
          <w:tcPr>
            <w:tcW w:w="4111" w:type="dxa"/>
            <w:vMerge/>
            <w:vAlign w:val="center"/>
          </w:tcPr>
          <w:p w14:paraId="4C7AE026" w14:textId="77777777" w:rsidR="008A2D7C" w:rsidRPr="00596EED" w:rsidRDefault="008A2D7C" w:rsidP="008A2D7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A2D7C" w:rsidRPr="00596EED" w14:paraId="23C9B2EE" w14:textId="77777777" w:rsidTr="0004761F">
        <w:trPr>
          <w:trHeight w:val="680"/>
        </w:trPr>
        <w:tc>
          <w:tcPr>
            <w:tcW w:w="1413" w:type="dxa"/>
            <w:vAlign w:val="center"/>
          </w:tcPr>
          <w:p w14:paraId="185D6816" w14:textId="77777777" w:rsidR="008A2D7C" w:rsidRPr="00596EED" w:rsidRDefault="008A2D7C" w:rsidP="008A2D7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96E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Refer to list</w:t>
            </w:r>
          </w:p>
        </w:tc>
        <w:tc>
          <w:tcPr>
            <w:tcW w:w="4961" w:type="dxa"/>
            <w:vAlign w:val="center"/>
          </w:tcPr>
          <w:p w14:paraId="526ED33B" w14:textId="77777777" w:rsidR="008A2D7C" w:rsidRPr="00596EED" w:rsidRDefault="00BC1EA0" w:rsidP="008A2D7C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Style w:val="Hyperlink"/>
                <w:rFonts w:ascii="Arial" w:eastAsiaTheme="majorEastAsia" w:hAnsi="Arial" w:cs="Arial"/>
                <w:b w:val="0"/>
                <w:bCs w:val="0"/>
                <w:sz w:val="20"/>
                <w:szCs w:val="20"/>
              </w:rPr>
            </w:pPr>
            <w:hyperlink r:id="rId11" w:history="1">
              <w:r w:rsidR="008A2D7C" w:rsidRPr="00596EED">
                <w:rPr>
                  <w:rStyle w:val="Hyperlink"/>
                  <w:rFonts w:ascii="Arial" w:eastAsiaTheme="majorEastAsia" w:hAnsi="Arial" w:cs="Arial"/>
                  <w:b w:val="0"/>
                  <w:bCs w:val="0"/>
                  <w:sz w:val="20"/>
                  <w:szCs w:val="20"/>
                </w:rPr>
                <w:t>Certification Programmes</w:t>
              </w:r>
            </w:hyperlink>
          </w:p>
        </w:tc>
        <w:tc>
          <w:tcPr>
            <w:tcW w:w="4111" w:type="dxa"/>
            <w:vMerge/>
            <w:vAlign w:val="center"/>
          </w:tcPr>
          <w:p w14:paraId="00AA63F7" w14:textId="77777777" w:rsidR="008A2D7C" w:rsidRPr="00596EED" w:rsidRDefault="008A2D7C" w:rsidP="008A2D7C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8A2D7C" w:rsidRPr="00596EED" w14:paraId="2E920700" w14:textId="77777777" w:rsidTr="0004761F">
        <w:trPr>
          <w:trHeight w:val="680"/>
        </w:trPr>
        <w:tc>
          <w:tcPr>
            <w:tcW w:w="1413" w:type="dxa"/>
            <w:vAlign w:val="center"/>
          </w:tcPr>
          <w:p w14:paraId="0BE210C8" w14:textId="77777777" w:rsidR="008A2D7C" w:rsidRPr="00596EED" w:rsidRDefault="008A2D7C" w:rsidP="008A2D7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96E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Refer to list</w:t>
            </w:r>
          </w:p>
        </w:tc>
        <w:tc>
          <w:tcPr>
            <w:tcW w:w="4961" w:type="dxa"/>
            <w:vAlign w:val="center"/>
          </w:tcPr>
          <w:p w14:paraId="7AAA9019" w14:textId="77777777" w:rsidR="008A2D7C" w:rsidRPr="00596EED" w:rsidRDefault="00BC1EA0" w:rsidP="008A2D7C">
            <w:pPr>
              <w:pStyle w:val="Heading3"/>
              <w:shd w:val="clear" w:color="auto" w:fill="FFFFFF"/>
              <w:spacing w:before="0"/>
              <w:outlineLvl w:val="2"/>
              <w:rPr>
                <w:rFonts w:ascii="Arial" w:hAnsi="Arial" w:cs="Arial"/>
                <w:color w:val="0E416F"/>
                <w:sz w:val="20"/>
                <w:szCs w:val="20"/>
              </w:rPr>
            </w:pPr>
            <w:hyperlink r:id="rId12" w:history="1">
              <w:r w:rsidR="008A2D7C" w:rsidRPr="00596EED">
                <w:rPr>
                  <w:rStyle w:val="Hyperlink"/>
                  <w:rFonts w:ascii="Arial" w:hAnsi="Arial" w:cs="Arial"/>
                  <w:sz w:val="20"/>
                  <w:szCs w:val="20"/>
                </w:rPr>
                <w:t>Funded courses</w:t>
              </w:r>
            </w:hyperlink>
          </w:p>
        </w:tc>
        <w:tc>
          <w:tcPr>
            <w:tcW w:w="4111" w:type="dxa"/>
            <w:vAlign w:val="center"/>
          </w:tcPr>
          <w:p w14:paraId="7C67038E" w14:textId="3C2A528D" w:rsidR="008A2D7C" w:rsidRPr="00596EED" w:rsidRDefault="008A2D7C" w:rsidP="008A2D7C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96EE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The package may not be used concurrently with (</w:t>
            </w:r>
            <w:proofErr w:type="spellStart"/>
            <w:r w:rsidRPr="00596EE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596EE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596EE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SkillsFuture</w:t>
            </w:r>
            <w:proofErr w:type="spellEnd"/>
            <w:r w:rsidRPr="00596EE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Singapore (SSG) Training Grant, (ii) Skills Development Fund (SDF), (iii) </w:t>
            </w:r>
            <w:proofErr w:type="spellStart"/>
            <w:r w:rsidRPr="00596EE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SkillsFuture</w:t>
            </w:r>
            <w:proofErr w:type="spellEnd"/>
            <w:r w:rsidRPr="00596EE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Credit (SFC) and (iv) Union Training Assistance Programme (UTAP)</w:t>
            </w:r>
            <w:r w:rsidR="00EF79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EF7907" w:rsidRPr="00EF79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Enterprise Singapore (ESG) grant</w:t>
            </w:r>
            <w:r w:rsidRPr="00596EE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1700598C" w14:textId="77777777" w:rsidR="008A2D7C" w:rsidRPr="00596EED" w:rsidRDefault="008A2D7C" w:rsidP="008A2D7C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03780630" w14:textId="77777777" w:rsidR="008A2D7C" w:rsidRPr="00596EED" w:rsidRDefault="008A2D7C" w:rsidP="008A2D7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596EE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You may offset the course fee using corporate package if you are not applying for funding. </w:t>
            </w:r>
          </w:p>
        </w:tc>
      </w:tr>
      <w:tr w:rsidR="00364CF5" w:rsidRPr="00596EED" w14:paraId="0E06A163" w14:textId="77777777" w:rsidTr="00364CF5">
        <w:trPr>
          <w:trHeight w:val="1140"/>
        </w:trPr>
        <w:tc>
          <w:tcPr>
            <w:tcW w:w="6374" w:type="dxa"/>
            <w:gridSpan w:val="2"/>
            <w:vAlign w:val="center"/>
          </w:tcPr>
          <w:p w14:paraId="3323613E" w14:textId="2C0D67F2" w:rsidR="00364CF5" w:rsidRDefault="00364CF5" w:rsidP="00364CF5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C47B7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Qualification programme</w:t>
            </w:r>
          </w:p>
          <w:p w14:paraId="10D52CE2" w14:textId="77777777" w:rsidR="00364CF5" w:rsidRDefault="00364CF5" w:rsidP="00364CF5">
            <w:pPr>
              <w:pStyle w:val="Heading3"/>
              <w:numPr>
                <w:ilvl w:val="0"/>
                <w:numId w:val="2"/>
              </w:numPr>
              <w:shd w:val="clear" w:color="auto" w:fill="FFFFFF"/>
              <w:spacing w:before="0"/>
              <w:outlineLvl w:val="2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3" w:history="1">
              <w:r w:rsidRPr="00CE139C">
                <w:rPr>
                  <w:rStyle w:val="Hyperlink"/>
                  <w:rFonts w:ascii="Arial" w:hAnsi="Arial" w:cs="Arial"/>
                  <w:sz w:val="20"/>
                  <w:szCs w:val="20"/>
                </w:rPr>
                <w:t>ISCA Financial Forensic Accounting (FFA) Qualification</w:t>
              </w:r>
            </w:hyperlink>
            <w:r w:rsidRPr="00CE139C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27A2B5" w14:textId="77777777" w:rsidR="00364CF5" w:rsidRPr="00CE139C" w:rsidRDefault="00364CF5" w:rsidP="00364CF5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eastAsiaTheme="majorEastAsia" w:hAnsi="Arial" w:cs="Arial"/>
                <w:sz w:val="20"/>
                <w:szCs w:val="20"/>
              </w:rPr>
            </w:pPr>
            <w:hyperlink r:id="rId14" w:history="1">
              <w:r w:rsidRPr="00CE139C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ISCA Infrastructure &amp; Project Finance Qualification (ISCA IPFQ)</w:t>
              </w:r>
            </w:hyperlink>
          </w:p>
          <w:p w14:paraId="03CD857E" w14:textId="5499D3F7" w:rsidR="00364CF5" w:rsidRPr="00364CF5" w:rsidRDefault="00364CF5" w:rsidP="00364CF5">
            <w:pPr>
              <w:pStyle w:val="ListParagraph"/>
              <w:numPr>
                <w:ilvl w:val="0"/>
                <w:numId w:val="2"/>
              </w:numPr>
            </w:pPr>
            <w:hyperlink r:id="rId15" w:history="1">
              <w:r w:rsidRPr="00364CF5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ISCA-SUSS Business Analytics Certification Programme</w:t>
              </w:r>
            </w:hyperlink>
          </w:p>
        </w:tc>
        <w:tc>
          <w:tcPr>
            <w:tcW w:w="4111" w:type="dxa"/>
            <w:vAlign w:val="center"/>
          </w:tcPr>
          <w:p w14:paraId="0F8C2225" w14:textId="76476E32" w:rsidR="00364CF5" w:rsidRPr="00364CF5" w:rsidRDefault="00364CF5" w:rsidP="00364CF5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364CF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</w:t>
            </w:r>
            <w:r w:rsidRPr="00364CF5">
              <w:rPr>
                <w:rFonts w:ascii="Arial" w:hAnsi="Arial" w:cs="Arial"/>
                <w:color w:val="333333"/>
                <w:sz w:val="20"/>
                <w:szCs w:val="20"/>
              </w:rPr>
              <w:t>ot applicable for Corporate Packages</w:t>
            </w:r>
          </w:p>
        </w:tc>
      </w:tr>
      <w:tr w:rsidR="00364CF5" w:rsidRPr="00596EED" w14:paraId="431CC440" w14:textId="77777777" w:rsidTr="008A2D7C">
        <w:trPr>
          <w:trHeight w:val="575"/>
        </w:trPr>
        <w:tc>
          <w:tcPr>
            <w:tcW w:w="1413" w:type="dxa"/>
            <w:vMerge w:val="restart"/>
            <w:vAlign w:val="center"/>
          </w:tcPr>
          <w:p w14:paraId="2F6A126E" w14:textId="77777777" w:rsidR="00364CF5" w:rsidRPr="00596EED" w:rsidRDefault="00364CF5" w:rsidP="00364CF5">
            <w:pPr>
              <w:pStyle w:val="Heading3"/>
              <w:shd w:val="clear" w:color="auto" w:fill="FFFFFF"/>
              <w:spacing w:before="0"/>
              <w:jc w:val="center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96E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Click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title</w:t>
            </w:r>
            <w:r w:rsidRPr="00596E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to view package / courses</w:t>
            </w:r>
          </w:p>
        </w:tc>
        <w:tc>
          <w:tcPr>
            <w:tcW w:w="4961" w:type="dxa"/>
            <w:vAlign w:val="center"/>
          </w:tcPr>
          <w:p w14:paraId="1351DA09" w14:textId="77777777" w:rsidR="00364CF5" w:rsidRPr="00596EED" w:rsidRDefault="00364CF5" w:rsidP="00364CF5">
            <w:pPr>
              <w:pStyle w:val="Heading3"/>
              <w:shd w:val="clear" w:color="auto" w:fill="FFFFFF"/>
              <w:spacing w:before="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6" w:history="1">
              <w:r w:rsidRPr="00596EED">
                <w:rPr>
                  <w:rStyle w:val="Hyperlink"/>
                  <w:rFonts w:ascii="Arial" w:hAnsi="Arial" w:cs="Arial"/>
                  <w:sz w:val="20"/>
                  <w:szCs w:val="20"/>
                </w:rPr>
                <w:t>Train &amp; Grow Package</w:t>
              </w:r>
            </w:hyperlink>
          </w:p>
        </w:tc>
        <w:tc>
          <w:tcPr>
            <w:tcW w:w="4111" w:type="dxa"/>
            <w:vMerge w:val="restart"/>
            <w:vAlign w:val="center"/>
          </w:tcPr>
          <w:p w14:paraId="4626371A" w14:textId="77777777" w:rsidR="00364CF5" w:rsidRPr="00596EED" w:rsidRDefault="00364CF5" w:rsidP="00364CF5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96EE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</w:t>
            </w:r>
            <w:r w:rsidRPr="00596EED">
              <w:rPr>
                <w:rFonts w:ascii="Arial" w:hAnsi="Arial" w:cs="Arial"/>
                <w:color w:val="333333"/>
                <w:sz w:val="20"/>
                <w:szCs w:val="20"/>
              </w:rPr>
              <w:t>ot applicable for Corporate Packages</w:t>
            </w:r>
          </w:p>
        </w:tc>
      </w:tr>
      <w:tr w:rsidR="00364CF5" w:rsidRPr="00596EED" w14:paraId="30EBA773" w14:textId="77777777" w:rsidTr="008A2D7C">
        <w:trPr>
          <w:trHeight w:val="555"/>
        </w:trPr>
        <w:tc>
          <w:tcPr>
            <w:tcW w:w="1413" w:type="dxa"/>
            <w:vMerge/>
          </w:tcPr>
          <w:p w14:paraId="41A1A2FE" w14:textId="77777777" w:rsidR="00364CF5" w:rsidRPr="00596EED" w:rsidRDefault="00364CF5" w:rsidP="00364CF5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0F6B8A5" w14:textId="77777777" w:rsidR="00364CF5" w:rsidRPr="00596EED" w:rsidRDefault="00364CF5" w:rsidP="00364CF5">
            <w:pPr>
              <w:pStyle w:val="Heading3"/>
              <w:shd w:val="clear" w:color="auto" w:fill="FFFFFF"/>
              <w:spacing w:before="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7" w:history="1">
              <w:r w:rsidRPr="00596EED">
                <w:rPr>
                  <w:rStyle w:val="Hyperlink"/>
                  <w:rFonts w:ascii="Arial" w:hAnsi="Arial" w:cs="Arial"/>
                  <w:sz w:val="20"/>
                  <w:szCs w:val="20"/>
                </w:rPr>
                <w:t>On-the-Job Training (OJT) Blueprints Workshops Bundle</w:t>
              </w:r>
            </w:hyperlink>
          </w:p>
        </w:tc>
        <w:tc>
          <w:tcPr>
            <w:tcW w:w="4111" w:type="dxa"/>
            <w:vMerge/>
          </w:tcPr>
          <w:p w14:paraId="441691FE" w14:textId="77777777" w:rsidR="00364CF5" w:rsidRPr="00596EED" w:rsidRDefault="00364CF5" w:rsidP="00364CF5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364CF5" w:rsidRPr="00596EED" w14:paraId="298EBED1" w14:textId="77777777" w:rsidTr="008A2D7C">
        <w:trPr>
          <w:trHeight w:val="407"/>
        </w:trPr>
        <w:tc>
          <w:tcPr>
            <w:tcW w:w="1413" w:type="dxa"/>
            <w:vMerge/>
          </w:tcPr>
          <w:p w14:paraId="5B83A903" w14:textId="77777777" w:rsidR="00364CF5" w:rsidRPr="00596EED" w:rsidRDefault="00364CF5" w:rsidP="00364CF5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4F7C7CE" w14:textId="77777777" w:rsidR="00364CF5" w:rsidRPr="00596EED" w:rsidRDefault="00364CF5" w:rsidP="00364CF5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proofErr w:type="spellStart"/>
              <w:r w:rsidRPr="00596EED">
                <w:rPr>
                  <w:rStyle w:val="Hyperlink"/>
                  <w:rFonts w:ascii="Arial" w:eastAsiaTheme="majorEastAsia" w:hAnsi="Arial" w:cs="Arial"/>
                  <w:b w:val="0"/>
                  <w:bCs w:val="0"/>
                  <w:sz w:val="20"/>
                  <w:szCs w:val="20"/>
                </w:rPr>
                <w:t>eEvents</w:t>
              </w:r>
              <w:proofErr w:type="spellEnd"/>
              <w:r w:rsidRPr="00596EED">
                <w:rPr>
                  <w:rStyle w:val="Hyperlink"/>
                  <w:rFonts w:ascii="Arial" w:eastAsiaTheme="majorEastAsia" w:hAnsi="Arial" w:cs="Arial"/>
                  <w:b w:val="0"/>
                  <w:bCs w:val="0"/>
                  <w:sz w:val="20"/>
                  <w:szCs w:val="20"/>
                </w:rPr>
                <w:t xml:space="preserve"> / Conferences</w:t>
              </w:r>
            </w:hyperlink>
          </w:p>
        </w:tc>
        <w:tc>
          <w:tcPr>
            <w:tcW w:w="4111" w:type="dxa"/>
            <w:vMerge/>
          </w:tcPr>
          <w:p w14:paraId="10B9235F" w14:textId="77777777" w:rsidR="00364CF5" w:rsidRPr="00596EED" w:rsidRDefault="00364CF5" w:rsidP="00364CF5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364CF5" w:rsidRPr="00596EED" w14:paraId="4B58FBC0" w14:textId="77777777" w:rsidTr="008A2D7C">
        <w:trPr>
          <w:trHeight w:val="390"/>
        </w:trPr>
        <w:tc>
          <w:tcPr>
            <w:tcW w:w="10485" w:type="dxa"/>
            <w:gridSpan w:val="3"/>
            <w:vAlign w:val="center"/>
          </w:tcPr>
          <w:p w14:paraId="643B2074" w14:textId="77777777" w:rsidR="00364CF5" w:rsidRPr="00596EED" w:rsidRDefault="00364CF5" w:rsidP="00364CF5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96E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External Collaborations</w:t>
            </w:r>
          </w:p>
        </w:tc>
      </w:tr>
      <w:tr w:rsidR="00364CF5" w:rsidRPr="00596EED" w14:paraId="63A69811" w14:textId="77777777" w:rsidTr="0004761F">
        <w:trPr>
          <w:trHeight w:val="680"/>
        </w:trPr>
        <w:tc>
          <w:tcPr>
            <w:tcW w:w="1413" w:type="dxa"/>
            <w:vAlign w:val="center"/>
          </w:tcPr>
          <w:p w14:paraId="2FBEC706" w14:textId="77777777" w:rsidR="00364CF5" w:rsidRPr="00596EED" w:rsidRDefault="00364CF5" w:rsidP="00364CF5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96E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CIMXXX</w:t>
            </w:r>
          </w:p>
        </w:tc>
        <w:tc>
          <w:tcPr>
            <w:tcW w:w="4961" w:type="dxa"/>
            <w:vAlign w:val="center"/>
          </w:tcPr>
          <w:p w14:paraId="44E5F597" w14:textId="77777777" w:rsidR="00364CF5" w:rsidRPr="00596EED" w:rsidRDefault="00364CF5" w:rsidP="00364CF5">
            <w:pPr>
              <w:pStyle w:val="Heading4"/>
              <w:shd w:val="clear" w:color="auto" w:fill="FAFAFA"/>
              <w:spacing w:before="0"/>
              <w:outlineLvl w:val="3"/>
              <w:rPr>
                <w:rFonts w:ascii="Arial" w:eastAsia="Times New Roman" w:hAnsi="Arial" w:cs="Arial"/>
                <w:i w:val="0"/>
                <w:iCs w:val="0"/>
                <w:color w:val="0563C1" w:themeColor="hyperlink"/>
                <w:sz w:val="20"/>
                <w:szCs w:val="20"/>
                <w:u w:val="single"/>
              </w:rPr>
            </w:pPr>
            <w:hyperlink r:id="rId19" w:history="1">
              <w:r w:rsidRPr="00596EED">
                <w:rPr>
                  <w:rStyle w:val="Hyperlink"/>
                  <w:rFonts w:ascii="Arial" w:eastAsia="Times New Roman" w:hAnsi="Arial" w:cs="Arial"/>
                  <w:i w:val="0"/>
                  <w:iCs w:val="0"/>
                  <w:sz w:val="20"/>
                  <w:szCs w:val="20"/>
                </w:rPr>
                <w:t>Association of International Certified Professional Accountants (AICPA)</w:t>
              </w:r>
            </w:hyperlink>
          </w:p>
        </w:tc>
        <w:tc>
          <w:tcPr>
            <w:tcW w:w="4111" w:type="dxa"/>
            <w:vMerge w:val="restart"/>
            <w:vAlign w:val="center"/>
          </w:tcPr>
          <w:p w14:paraId="450B757A" w14:textId="77777777" w:rsidR="00364CF5" w:rsidRPr="00596EED" w:rsidRDefault="00364CF5" w:rsidP="00364CF5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96EE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</w:t>
            </w:r>
            <w:r w:rsidRPr="00596EED">
              <w:rPr>
                <w:rFonts w:ascii="Arial" w:hAnsi="Arial" w:cs="Arial"/>
                <w:color w:val="333333"/>
                <w:sz w:val="20"/>
                <w:szCs w:val="20"/>
              </w:rPr>
              <w:t>ot applicable for Corporate Packages</w:t>
            </w:r>
          </w:p>
        </w:tc>
      </w:tr>
      <w:tr w:rsidR="00364CF5" w:rsidRPr="00596EED" w14:paraId="03A87F90" w14:textId="77777777" w:rsidTr="0004761F">
        <w:trPr>
          <w:trHeight w:val="680"/>
        </w:trPr>
        <w:tc>
          <w:tcPr>
            <w:tcW w:w="1413" w:type="dxa"/>
            <w:vAlign w:val="center"/>
          </w:tcPr>
          <w:p w14:paraId="0924C0B6" w14:textId="77777777" w:rsidR="00364CF5" w:rsidRPr="00596EED" w:rsidRDefault="00364CF5" w:rsidP="00364CF5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96E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SIPXXX</w:t>
            </w:r>
          </w:p>
        </w:tc>
        <w:tc>
          <w:tcPr>
            <w:tcW w:w="4961" w:type="dxa"/>
            <w:vAlign w:val="center"/>
          </w:tcPr>
          <w:p w14:paraId="6201B53F" w14:textId="77777777" w:rsidR="00364CF5" w:rsidRPr="00596EED" w:rsidRDefault="00364CF5" w:rsidP="00364CF5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0" w:history="1">
              <w:r w:rsidRPr="00596EE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The Singapore Institute of Purchasing and Materials Management (SIPMM)</w:t>
              </w:r>
            </w:hyperlink>
          </w:p>
        </w:tc>
        <w:tc>
          <w:tcPr>
            <w:tcW w:w="4111" w:type="dxa"/>
            <w:vMerge/>
            <w:vAlign w:val="center"/>
          </w:tcPr>
          <w:p w14:paraId="76931563" w14:textId="77777777" w:rsidR="00364CF5" w:rsidRPr="00596EED" w:rsidRDefault="00364CF5" w:rsidP="00364CF5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364CF5" w:rsidRPr="00596EED" w14:paraId="51602F13" w14:textId="77777777" w:rsidTr="008A2D7C">
        <w:trPr>
          <w:trHeight w:val="454"/>
        </w:trPr>
        <w:tc>
          <w:tcPr>
            <w:tcW w:w="1413" w:type="dxa"/>
            <w:vAlign w:val="center"/>
          </w:tcPr>
          <w:p w14:paraId="72326FE1" w14:textId="77777777" w:rsidR="00364CF5" w:rsidRPr="00596EED" w:rsidRDefault="00364CF5" w:rsidP="00364CF5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96E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BPPXXX</w:t>
            </w:r>
          </w:p>
        </w:tc>
        <w:tc>
          <w:tcPr>
            <w:tcW w:w="4961" w:type="dxa"/>
            <w:vAlign w:val="center"/>
          </w:tcPr>
          <w:p w14:paraId="13FB1043" w14:textId="77777777" w:rsidR="00364CF5" w:rsidRPr="00596EED" w:rsidRDefault="00364CF5" w:rsidP="00364CF5">
            <w:pPr>
              <w:pStyle w:val="Heading3"/>
              <w:shd w:val="clear" w:color="auto" w:fill="FFFFFF"/>
              <w:spacing w:before="0"/>
              <w:outlineLvl w:val="2"/>
              <w:rPr>
                <w:rFonts w:ascii="Arial" w:hAnsi="Arial" w:cs="Arial"/>
                <w:color w:val="0E416F"/>
                <w:sz w:val="20"/>
                <w:szCs w:val="20"/>
              </w:rPr>
            </w:pPr>
            <w:hyperlink r:id="rId21" w:history="1">
              <w:r w:rsidRPr="00596EED">
                <w:rPr>
                  <w:rStyle w:val="Hyperlink"/>
                  <w:rFonts w:ascii="Arial" w:hAnsi="Arial" w:cs="Arial"/>
                  <w:sz w:val="20"/>
                  <w:szCs w:val="20"/>
                </w:rPr>
                <w:t>BPP Professional Education</w:t>
              </w:r>
            </w:hyperlink>
          </w:p>
        </w:tc>
        <w:tc>
          <w:tcPr>
            <w:tcW w:w="4111" w:type="dxa"/>
            <w:vMerge/>
            <w:vAlign w:val="center"/>
          </w:tcPr>
          <w:p w14:paraId="21ABA831" w14:textId="77777777" w:rsidR="00364CF5" w:rsidRPr="00596EED" w:rsidRDefault="00364CF5" w:rsidP="00364CF5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364CF5" w:rsidRPr="00596EED" w14:paraId="06FDBA90" w14:textId="77777777" w:rsidTr="008A2D7C">
        <w:trPr>
          <w:trHeight w:val="454"/>
        </w:trPr>
        <w:tc>
          <w:tcPr>
            <w:tcW w:w="1413" w:type="dxa"/>
            <w:vAlign w:val="center"/>
          </w:tcPr>
          <w:p w14:paraId="71FACC7B" w14:textId="77777777" w:rsidR="00364CF5" w:rsidRPr="00596EED" w:rsidRDefault="00364CF5" w:rsidP="00364CF5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96E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INTXXX</w:t>
            </w:r>
          </w:p>
        </w:tc>
        <w:tc>
          <w:tcPr>
            <w:tcW w:w="4961" w:type="dxa"/>
            <w:vAlign w:val="center"/>
          </w:tcPr>
          <w:p w14:paraId="3D83900E" w14:textId="77777777" w:rsidR="00364CF5" w:rsidRPr="00596EED" w:rsidRDefault="00364CF5" w:rsidP="00364CF5">
            <w:pPr>
              <w:pStyle w:val="Heading3"/>
              <w:shd w:val="clear" w:color="auto" w:fill="FFFFFF"/>
              <w:spacing w:before="0"/>
              <w:outlineLvl w:val="2"/>
              <w:rPr>
                <w:rFonts w:ascii="Arial" w:hAnsi="Arial" w:cs="Arial"/>
                <w:color w:val="0E416F"/>
                <w:sz w:val="20"/>
                <w:szCs w:val="20"/>
              </w:rPr>
            </w:pPr>
            <w:hyperlink r:id="rId22" w:history="1">
              <w:r w:rsidRPr="00596EED">
                <w:rPr>
                  <w:rStyle w:val="Hyperlink"/>
                  <w:rFonts w:ascii="Arial" w:hAnsi="Arial" w:cs="Arial"/>
                  <w:sz w:val="20"/>
                  <w:szCs w:val="20"/>
                </w:rPr>
                <w:t>Intuition</w:t>
              </w:r>
            </w:hyperlink>
          </w:p>
        </w:tc>
        <w:tc>
          <w:tcPr>
            <w:tcW w:w="4111" w:type="dxa"/>
            <w:vMerge/>
            <w:vAlign w:val="center"/>
          </w:tcPr>
          <w:p w14:paraId="7B3A4F36" w14:textId="77777777" w:rsidR="00364CF5" w:rsidRPr="00596EED" w:rsidRDefault="00364CF5" w:rsidP="00364CF5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364CF5" w:rsidRPr="00596EED" w14:paraId="4DA3737A" w14:textId="77777777" w:rsidTr="008A2D7C">
        <w:trPr>
          <w:trHeight w:val="423"/>
        </w:trPr>
        <w:tc>
          <w:tcPr>
            <w:tcW w:w="1413" w:type="dxa"/>
            <w:vAlign w:val="center"/>
          </w:tcPr>
          <w:p w14:paraId="4EEAE82D" w14:textId="77777777" w:rsidR="00364CF5" w:rsidRPr="00596EED" w:rsidRDefault="00364CF5" w:rsidP="00364CF5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96E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JDTXXX</w:t>
            </w:r>
          </w:p>
        </w:tc>
        <w:tc>
          <w:tcPr>
            <w:tcW w:w="4961" w:type="dxa"/>
            <w:vAlign w:val="center"/>
          </w:tcPr>
          <w:p w14:paraId="24D9D33A" w14:textId="77777777" w:rsidR="00364CF5" w:rsidRPr="00596EED" w:rsidRDefault="00364CF5" w:rsidP="00364CF5">
            <w:pPr>
              <w:pStyle w:val="Heading3"/>
              <w:shd w:val="clear" w:color="auto" w:fill="FFFFFF"/>
              <w:spacing w:before="0"/>
              <w:outlineLvl w:val="2"/>
              <w:rPr>
                <w:rFonts w:ascii="Arial" w:hAnsi="Arial" w:cs="Arial"/>
                <w:color w:val="0E416F"/>
                <w:sz w:val="20"/>
                <w:szCs w:val="20"/>
              </w:rPr>
            </w:pPr>
            <w:hyperlink r:id="rId23" w:history="1">
              <w:r w:rsidRPr="00596EED">
                <w:rPr>
                  <w:rStyle w:val="Hyperlink"/>
                  <w:rFonts w:ascii="Arial" w:hAnsi="Arial" w:cs="Arial"/>
                  <w:sz w:val="20"/>
                  <w:szCs w:val="20"/>
                </w:rPr>
                <w:t>Monthly Talks</w:t>
              </w:r>
            </w:hyperlink>
          </w:p>
        </w:tc>
        <w:tc>
          <w:tcPr>
            <w:tcW w:w="4111" w:type="dxa"/>
            <w:vMerge/>
            <w:vAlign w:val="center"/>
          </w:tcPr>
          <w:p w14:paraId="5389197B" w14:textId="77777777" w:rsidR="00364CF5" w:rsidRPr="00596EED" w:rsidRDefault="00364CF5" w:rsidP="00364CF5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14:paraId="73512F89" w14:textId="5CB05984" w:rsidR="008A2D7C" w:rsidRPr="008A2D7C" w:rsidRDefault="008A2D7C" w:rsidP="008A2D7C">
      <w:pPr>
        <w:spacing w:after="0" w:line="240" w:lineRule="auto"/>
        <w:rPr>
          <w:b/>
          <w:bCs/>
          <w:i/>
          <w:iCs/>
          <w:color w:val="4472C4" w:themeColor="accent1"/>
          <w:sz w:val="20"/>
          <w:szCs w:val="20"/>
        </w:rPr>
      </w:pPr>
      <w:r>
        <w:rPr>
          <w:b/>
          <w:bCs/>
          <w:i/>
          <w:iCs/>
          <w:color w:val="4472C4" w:themeColor="accent1"/>
          <w:sz w:val="20"/>
          <w:szCs w:val="20"/>
        </w:rPr>
        <w:t xml:space="preserve">Note: </w:t>
      </w:r>
      <w:r w:rsidRPr="008A2D7C">
        <w:rPr>
          <w:b/>
          <w:bCs/>
          <w:i/>
          <w:iCs/>
          <w:color w:val="4472C4" w:themeColor="accent1"/>
          <w:sz w:val="20"/>
          <w:szCs w:val="20"/>
        </w:rPr>
        <w:t>New courses will be added to the package lis</w:t>
      </w:r>
      <w:r>
        <w:rPr>
          <w:b/>
          <w:bCs/>
          <w:i/>
          <w:iCs/>
          <w:color w:val="4472C4" w:themeColor="accent1"/>
          <w:sz w:val="20"/>
          <w:szCs w:val="20"/>
        </w:rPr>
        <w:t>t every quarterly</w:t>
      </w:r>
      <w:r w:rsidRPr="008A2D7C">
        <w:rPr>
          <w:b/>
          <w:bCs/>
          <w:i/>
          <w:iCs/>
          <w:color w:val="4472C4" w:themeColor="accent1"/>
          <w:sz w:val="20"/>
          <w:szCs w:val="20"/>
        </w:rPr>
        <w:t xml:space="preserve">. Please feel free to contact </w:t>
      </w:r>
      <w:hyperlink r:id="rId24" w:history="1">
        <w:r w:rsidRPr="008A2D7C">
          <w:rPr>
            <w:rStyle w:val="Hyperlink"/>
            <w:b/>
            <w:bCs/>
            <w:i/>
            <w:iCs/>
            <w:color w:val="4472C4" w:themeColor="accent1"/>
            <w:sz w:val="20"/>
            <w:szCs w:val="20"/>
          </w:rPr>
          <w:t>cpe@isca.org.sg</w:t>
        </w:r>
      </w:hyperlink>
      <w:r w:rsidRPr="008A2D7C">
        <w:rPr>
          <w:b/>
          <w:bCs/>
          <w:i/>
          <w:iCs/>
          <w:color w:val="4472C4" w:themeColor="accent1"/>
          <w:sz w:val="20"/>
          <w:szCs w:val="20"/>
        </w:rPr>
        <w:t xml:space="preserve"> if you wish to utilise your corporate package to register any new courses that have</w:t>
      </w:r>
      <w:r>
        <w:rPr>
          <w:b/>
          <w:bCs/>
          <w:i/>
          <w:iCs/>
          <w:color w:val="4472C4" w:themeColor="accent1"/>
          <w:sz w:val="20"/>
          <w:szCs w:val="20"/>
        </w:rPr>
        <w:t xml:space="preserve"> </w:t>
      </w:r>
      <w:r w:rsidRPr="008A2D7C">
        <w:rPr>
          <w:b/>
          <w:bCs/>
          <w:i/>
          <w:iCs/>
          <w:color w:val="4472C4" w:themeColor="accent1"/>
          <w:sz w:val="20"/>
          <w:szCs w:val="20"/>
        </w:rPr>
        <w:t xml:space="preserve">not </w:t>
      </w:r>
      <w:r>
        <w:rPr>
          <w:b/>
          <w:bCs/>
          <w:i/>
          <w:iCs/>
          <w:color w:val="4472C4" w:themeColor="accent1"/>
          <w:sz w:val="20"/>
          <w:szCs w:val="20"/>
        </w:rPr>
        <w:t xml:space="preserve">yet </w:t>
      </w:r>
      <w:r w:rsidRPr="008A2D7C">
        <w:rPr>
          <w:b/>
          <w:bCs/>
          <w:i/>
          <w:iCs/>
          <w:color w:val="4472C4" w:themeColor="accent1"/>
          <w:sz w:val="20"/>
          <w:szCs w:val="20"/>
        </w:rPr>
        <w:t xml:space="preserve">been </w:t>
      </w:r>
      <w:r>
        <w:rPr>
          <w:b/>
          <w:bCs/>
          <w:i/>
          <w:iCs/>
          <w:color w:val="4472C4" w:themeColor="accent1"/>
          <w:sz w:val="20"/>
          <w:szCs w:val="20"/>
        </w:rPr>
        <w:t>added to the package list.</w:t>
      </w:r>
    </w:p>
    <w:sectPr w:rsidR="008A2D7C" w:rsidRPr="008A2D7C" w:rsidSect="008A2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07E8"/>
    <w:multiLevelType w:val="hybridMultilevel"/>
    <w:tmpl w:val="58CAA3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58CF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86D8F"/>
    <w:multiLevelType w:val="hybridMultilevel"/>
    <w:tmpl w:val="BEBA560A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58CF3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7C"/>
    <w:rsid w:val="00364CF5"/>
    <w:rsid w:val="008A2D7C"/>
    <w:rsid w:val="00BC1EA0"/>
    <w:rsid w:val="00E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8DD6"/>
  <w15:chartTrackingRefBased/>
  <w15:docId w15:val="{E0D781CB-8B3F-4E92-9F2D-7917E989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D7C"/>
  </w:style>
  <w:style w:type="paragraph" w:styleId="Heading2">
    <w:name w:val="heading 2"/>
    <w:basedOn w:val="Normal"/>
    <w:link w:val="Heading2Char"/>
    <w:uiPriority w:val="9"/>
    <w:qFormat/>
    <w:rsid w:val="008A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D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D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D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D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D7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8A2D7C"/>
    <w:pPr>
      <w:ind w:left="720"/>
      <w:contextualSpacing/>
    </w:pPr>
  </w:style>
  <w:style w:type="table" w:styleId="TableGrid">
    <w:name w:val="Table Grid"/>
    <w:basedOn w:val="TableNormal"/>
    <w:uiPriority w:val="39"/>
    <w:rsid w:val="008A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2D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D7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ca.org.sg/learn-connect/cpe-courses/practical-audit-workshops" TargetMode="External"/><Relationship Id="rId13" Type="http://schemas.openxmlformats.org/officeDocument/2006/relationships/hyperlink" Target="https://isca.org.sg/learn-connect/professional-qualifications/isca-financial-forensic-accounting-qualification" TargetMode="External"/><Relationship Id="rId18" Type="http://schemas.openxmlformats.org/officeDocument/2006/relationships/hyperlink" Target="https://isca.org.sg/covid-19-series/eevent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services.isca.org.sg/apex/CourseList?category=BPP&amp;_ga=2.205148624.137309942.1625800612-1663863689.1619053235" TargetMode="External"/><Relationship Id="rId7" Type="http://schemas.openxmlformats.org/officeDocument/2006/relationships/hyperlink" Target="https://isca.org.sg/learn-connect/cpe-courses/certification-programmes/audit-committee-programme" TargetMode="External"/><Relationship Id="rId12" Type="http://schemas.openxmlformats.org/officeDocument/2006/relationships/hyperlink" Target="https://isca.org.sg/learn-connect/cpe-courses/funded-courses/courses-available-for-funding" TargetMode="External"/><Relationship Id="rId17" Type="http://schemas.openxmlformats.org/officeDocument/2006/relationships/hyperlink" Target="https://isca.org.sg/learn-connect/guide-to-find-courses/promotion-and-packages/on-the-job-training-(ojt)-blueprints-workshops-bundl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sca.org.sg/learn-connect/cpe-courses/certification-programmes/isca-pba/train-grow-package" TargetMode="External"/><Relationship Id="rId20" Type="http://schemas.openxmlformats.org/officeDocument/2006/relationships/hyperlink" Target="https://eservices.isca.org.sg/apex/CourseList?category=SIPMM&amp;_ga=2.256528715.137309942.1625800612-1663863689.16190532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ca.org.sg/learn-connect/guide-to-find-courses/promotion-and-packages/flexi-learning-package" TargetMode="External"/><Relationship Id="rId11" Type="http://schemas.openxmlformats.org/officeDocument/2006/relationships/hyperlink" Target="https://isca.org.sg/learn-connect/cpe-courses/certification-programmes" TargetMode="External"/><Relationship Id="rId24" Type="http://schemas.openxmlformats.org/officeDocument/2006/relationships/hyperlink" Target="mailto:cpe@isca.org.sg" TargetMode="External"/><Relationship Id="rId5" Type="http://schemas.openxmlformats.org/officeDocument/2006/relationships/hyperlink" Target="https://isca.org.sg/learn-connect/guide-to-find-courses/promotion-and-packages/e-learning-package-renew!" TargetMode="External"/><Relationship Id="rId15" Type="http://schemas.openxmlformats.org/officeDocument/2006/relationships/hyperlink" Target="https://isca.org.sg/learn-connect/professional-qualifications/isca-suss-business-analytics-certification-program" TargetMode="External"/><Relationship Id="rId23" Type="http://schemas.openxmlformats.org/officeDocument/2006/relationships/hyperlink" Target="https://isca.org.sg/learn-connect/cpe-courses/monthly-talks-(july-to-dec-2021)" TargetMode="External"/><Relationship Id="rId10" Type="http://schemas.openxmlformats.org/officeDocument/2006/relationships/hyperlink" Target="https://eservices.isca.org.sg/apex/CourseList?category=Business-Analytics-Reporting-Programmes&amp;_ga=2.238049600.137309942.1625800612-1663863689.1619053235" TargetMode="External"/><Relationship Id="rId19" Type="http://schemas.openxmlformats.org/officeDocument/2006/relationships/hyperlink" Target="https://eservices.isca.org.sg/apex/CourseList?category=cima&amp;_ga=2.266416206.137309942.1625800612-1663863689.1619053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ca.org.sg/learn-connect/cpe-courses/accountancy-future-leaders-programme" TargetMode="External"/><Relationship Id="rId14" Type="http://schemas.openxmlformats.org/officeDocument/2006/relationships/hyperlink" Target="https://isca.org.sg/learn-connect/professional-qualifications/isca-infrastructure-project-finance-qualification" TargetMode="External"/><Relationship Id="rId22" Type="http://schemas.openxmlformats.org/officeDocument/2006/relationships/hyperlink" Target="https://eservices.isca.org.sg/apex/CourseList?category=intuition&amp;_ga=2.205148624.137309942.1625800612-1663863689.1619053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Hwee Hong (ISCA)</dc:creator>
  <cp:keywords/>
  <dc:description/>
  <cp:lastModifiedBy>Lim Hwee Hong (ISCA)</cp:lastModifiedBy>
  <cp:revision>4</cp:revision>
  <dcterms:created xsi:type="dcterms:W3CDTF">2021-07-19T07:25:00Z</dcterms:created>
  <dcterms:modified xsi:type="dcterms:W3CDTF">2021-07-19T07:25:00Z</dcterms:modified>
</cp:coreProperties>
</file>